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6B0DC2">
        <w:rPr>
          <w:b/>
        </w:rPr>
        <w:t>.2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Pr="0098126E" w:rsidRDefault="00B94356" w:rsidP="00351C65">
      <w:pPr>
        <w:spacing w:before="0"/>
        <w:rPr>
          <w:b/>
        </w:rPr>
      </w:pPr>
      <w:r w:rsidRPr="00AB0297">
        <w:rPr>
          <w:b/>
        </w:rPr>
        <w:t>Относно:</w:t>
      </w:r>
      <w:r w:rsidRPr="00AB0297">
        <w:t xml:space="preserve"> </w:t>
      </w:r>
      <w:r w:rsidR="001E5AD5" w:rsidRPr="00AB0297">
        <w:t>Процедура за възлагане на о</w:t>
      </w:r>
      <w:r w:rsidRPr="00AB0297">
        <w:t xml:space="preserve">бществена поръчка с предмет: </w:t>
      </w:r>
      <w:r w:rsidR="002447C0" w:rsidRPr="00AB0297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AB0297">
        <w:rPr>
          <w:rFonts w:eastAsia="Times New Roman"/>
          <w:b/>
          <w:bCs/>
          <w:lang w:eastAsia="bg-BG"/>
        </w:rPr>
        <w:t xml:space="preserve">, за обособена позиция </w:t>
      </w:r>
      <w:r w:rsidR="00236791" w:rsidRPr="00AB0297">
        <w:rPr>
          <w:rFonts w:eastAsia="Times New Roman"/>
          <w:b/>
          <w:bCs/>
          <w:lang w:eastAsia="bg-BG"/>
        </w:rPr>
        <w:t xml:space="preserve">№ </w:t>
      </w:r>
      <w:r w:rsidR="006B0DC2" w:rsidRPr="00AB0297">
        <w:rPr>
          <w:rFonts w:eastAsia="Times New Roman"/>
          <w:b/>
          <w:bCs/>
          <w:lang w:eastAsia="bg-BG"/>
        </w:rPr>
        <w:t>2</w:t>
      </w:r>
      <w:r w:rsidR="00433B41" w:rsidRPr="00AB0297">
        <w:rPr>
          <w:rFonts w:eastAsia="Times New Roman"/>
          <w:b/>
          <w:bCs/>
          <w:lang w:eastAsia="bg-BG"/>
        </w:rPr>
        <w:t xml:space="preserve"> </w:t>
      </w:r>
      <w:r w:rsidR="00B93ADF">
        <w:rPr>
          <w:rFonts w:eastAsia="TimesNewRoman,Bold"/>
          <w:b/>
          <w:bCs/>
          <w:color w:val="000000"/>
          <w:szCs w:val="20"/>
          <w:lang w:eastAsia="en-US"/>
        </w:rPr>
        <w:t>„</w:t>
      </w:r>
      <w:bookmarkStart w:id="0" w:name="_GoBack"/>
      <w:bookmarkEnd w:id="0"/>
      <w:r w:rsidR="0098126E" w:rsidRPr="00AB0297">
        <w:rPr>
          <w:rFonts w:eastAsia="TimesNewRoman,Bold"/>
          <w:b/>
          <w:bCs/>
          <w:color w:val="000000"/>
          <w:szCs w:val="20"/>
          <w:lang w:eastAsia="en-US"/>
        </w:rPr>
        <w:t>Доставка на непрекъсваеми електрозахранващи устройства -UPS“</w:t>
      </w:r>
      <w:r w:rsidR="0098126E" w:rsidRPr="00AB0297">
        <w:rPr>
          <w:b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9812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9812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98126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98126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98126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98126E" w:rsidRPr="00583933" w:rsidTr="002E5342">
        <w:tc>
          <w:tcPr>
            <w:tcW w:w="516" w:type="dxa"/>
            <w:shd w:val="clear" w:color="auto" w:fill="auto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8126E" w:rsidRPr="00EF03EF" w:rsidRDefault="0098126E" w:rsidP="0098126E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Непрекъсваемо електрозахранващо устройство – UPS</w:t>
            </w:r>
          </w:p>
          <w:p w:rsidR="0098126E" w:rsidRPr="00EF03EF" w:rsidRDefault="0098126E" w:rsidP="009812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тип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26E" w:rsidRPr="00EF03EF" w:rsidRDefault="001112FB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59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8126E" w:rsidRPr="00583933" w:rsidTr="002E5342">
        <w:tc>
          <w:tcPr>
            <w:tcW w:w="516" w:type="dxa"/>
            <w:shd w:val="clear" w:color="auto" w:fill="auto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8126E" w:rsidRPr="00EF03EF" w:rsidRDefault="0098126E" w:rsidP="0098126E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Непрекъсваемо електрозахранващо устройство –UPS</w:t>
            </w:r>
          </w:p>
          <w:p w:rsidR="0098126E" w:rsidRPr="00EF03EF" w:rsidRDefault="0098126E" w:rsidP="0098126E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тип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26E" w:rsidRPr="00EF03EF" w:rsidRDefault="001112FB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8126E" w:rsidRPr="00583933" w:rsidTr="002E5342">
        <w:tc>
          <w:tcPr>
            <w:tcW w:w="516" w:type="dxa"/>
            <w:shd w:val="clear" w:color="auto" w:fill="auto"/>
          </w:tcPr>
          <w:p w:rsidR="0098126E" w:rsidRPr="00583933" w:rsidRDefault="001112FB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8126E" w:rsidRPr="005839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8126E" w:rsidRPr="00EF03EF" w:rsidRDefault="0098126E" w:rsidP="0098126E">
            <w:pPr>
              <w:suppressAutoHyphens w:val="0"/>
              <w:spacing w:before="0"/>
              <w:jc w:val="left"/>
              <w:rPr>
                <w:rFonts w:eastAsia="TimesNewRoman,Bold"/>
                <w:bCs/>
                <w:color w:val="000000"/>
                <w:lang w:eastAsia="en-US"/>
              </w:rPr>
            </w:pPr>
            <w:r w:rsidRPr="00EF03EF">
              <w:rPr>
                <w:rFonts w:eastAsia="TimesNewRoman,Bold"/>
                <w:bCs/>
                <w:color w:val="000000"/>
                <w:lang w:eastAsia="en-US"/>
              </w:rPr>
              <w:t>Батериен модул за UPS за захранване на комуникационен шкаф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26E" w:rsidRPr="00EF03EF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F03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8126E" w:rsidRPr="00583933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8126E" w:rsidRPr="00645A95" w:rsidTr="002E008C">
        <w:tc>
          <w:tcPr>
            <w:tcW w:w="5691" w:type="dxa"/>
            <w:gridSpan w:val="3"/>
            <w:shd w:val="clear" w:color="auto" w:fill="auto"/>
          </w:tcPr>
          <w:p w:rsidR="0098126E" w:rsidRPr="0067337E" w:rsidRDefault="0098126E" w:rsidP="0098126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98126E" w:rsidRPr="00645A95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8126E" w:rsidRPr="00645A95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8126E" w:rsidRPr="00645A95" w:rsidTr="002E008C">
        <w:tc>
          <w:tcPr>
            <w:tcW w:w="5691" w:type="dxa"/>
            <w:gridSpan w:val="3"/>
            <w:shd w:val="clear" w:color="auto" w:fill="auto"/>
          </w:tcPr>
          <w:p w:rsidR="0098126E" w:rsidRPr="0067337E" w:rsidRDefault="0098126E" w:rsidP="0098126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98126E" w:rsidRPr="00645A95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8126E" w:rsidRPr="00645A95" w:rsidRDefault="0098126E" w:rsidP="0098126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15" w:rsidRDefault="00C55115" w:rsidP="00336398">
      <w:pPr>
        <w:spacing w:before="0"/>
      </w:pPr>
      <w:r>
        <w:separator/>
      </w:r>
    </w:p>
  </w:endnote>
  <w:endnote w:type="continuationSeparator" w:id="0">
    <w:p w:rsidR="00C55115" w:rsidRDefault="00C55115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15" w:rsidRDefault="00C55115" w:rsidP="00336398">
      <w:pPr>
        <w:spacing w:before="0"/>
      </w:pPr>
      <w:r>
        <w:separator/>
      </w:r>
    </w:p>
  </w:footnote>
  <w:footnote w:type="continuationSeparator" w:id="0">
    <w:p w:rsidR="00C55115" w:rsidRDefault="00C55115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112FB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3B41"/>
    <w:rsid w:val="00435D0A"/>
    <w:rsid w:val="004529CF"/>
    <w:rsid w:val="004A77D1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B0DC2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2928"/>
    <w:rsid w:val="007F35E4"/>
    <w:rsid w:val="00820034"/>
    <w:rsid w:val="00867A44"/>
    <w:rsid w:val="00893FDD"/>
    <w:rsid w:val="008C2693"/>
    <w:rsid w:val="008F3099"/>
    <w:rsid w:val="0091333D"/>
    <w:rsid w:val="0097352E"/>
    <w:rsid w:val="0097434D"/>
    <w:rsid w:val="009805BA"/>
    <w:rsid w:val="0098126E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0297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3ADF"/>
    <w:rsid w:val="00B94356"/>
    <w:rsid w:val="00BB5A4B"/>
    <w:rsid w:val="00BC5B39"/>
    <w:rsid w:val="00C10627"/>
    <w:rsid w:val="00C237A1"/>
    <w:rsid w:val="00C23A01"/>
    <w:rsid w:val="00C55115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806E-009D-4AF7-8F9C-D819CB41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91</cp:revision>
  <cp:lastPrinted>2017-10-18T14:30:00Z</cp:lastPrinted>
  <dcterms:created xsi:type="dcterms:W3CDTF">2016-08-09T12:32:00Z</dcterms:created>
  <dcterms:modified xsi:type="dcterms:W3CDTF">2017-10-18T14:38:00Z</dcterms:modified>
</cp:coreProperties>
</file>